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39DB" w14:textId="5EAA1DF5" w:rsidR="00833717" w:rsidRDefault="003C67FF">
      <w:pPr>
        <w:rPr>
          <w:b/>
          <w:sz w:val="28"/>
        </w:rPr>
      </w:pPr>
      <w:r w:rsidRPr="003C67FF">
        <w:rPr>
          <w:b/>
          <w:sz w:val="28"/>
        </w:rPr>
        <w:t xml:space="preserve">An </w:t>
      </w:r>
      <w:proofErr w:type="gramStart"/>
      <w:r w:rsidRPr="003C67FF">
        <w:rPr>
          <w:b/>
          <w:sz w:val="28"/>
        </w:rPr>
        <w:t>evidence based</w:t>
      </w:r>
      <w:proofErr w:type="gramEnd"/>
      <w:r w:rsidRPr="003C67FF">
        <w:rPr>
          <w:b/>
          <w:sz w:val="28"/>
        </w:rPr>
        <w:t xml:space="preserve"> approach to teaching writing</w:t>
      </w:r>
    </w:p>
    <w:p w14:paraId="3F4C2B14" w14:textId="55D6646D" w:rsidR="003C67FF" w:rsidRPr="003C67FF" w:rsidRDefault="003C67FF" w:rsidP="003C67FF">
      <w:pPr>
        <w:pStyle w:val="ListParagraph"/>
        <w:numPr>
          <w:ilvl w:val="0"/>
          <w:numId w:val="1"/>
        </w:numPr>
      </w:pPr>
      <w:r>
        <w:t>RAG (Red, Amber, Green) the following elements to identify which areas of practice to consider increasing / developing:</w:t>
      </w:r>
    </w:p>
    <w:tbl>
      <w:tblPr>
        <w:tblStyle w:val="TableGrid"/>
        <w:tblW w:w="0" w:type="auto"/>
        <w:tblLook w:val="04A0" w:firstRow="1" w:lastRow="0" w:firstColumn="1" w:lastColumn="0" w:noHBand="0" w:noVBand="1"/>
      </w:tblPr>
      <w:tblGrid>
        <w:gridCol w:w="4509"/>
        <w:gridCol w:w="4507"/>
      </w:tblGrid>
      <w:tr w:rsidR="003C67FF" w:rsidRPr="0080444F" w14:paraId="442FA02D" w14:textId="77777777" w:rsidTr="003C67FF">
        <w:trPr>
          <w:trHeight w:val="737"/>
        </w:trPr>
        <w:tc>
          <w:tcPr>
            <w:tcW w:w="6974" w:type="dxa"/>
            <w:shd w:val="clear" w:color="auto" w:fill="auto"/>
            <w:vAlign w:val="center"/>
          </w:tcPr>
          <w:p w14:paraId="581A936D" w14:textId="77777777" w:rsidR="003C67FF" w:rsidRPr="003C67FF" w:rsidRDefault="003C67FF" w:rsidP="00104729">
            <w:pPr>
              <w:jc w:val="center"/>
              <w:rPr>
                <w:b/>
                <w:sz w:val="24"/>
              </w:rPr>
            </w:pPr>
            <w:r w:rsidRPr="003C67FF">
              <w:rPr>
                <w:b/>
                <w:sz w:val="24"/>
              </w:rPr>
              <w:t>Quantity / opportunities to write</w:t>
            </w:r>
          </w:p>
        </w:tc>
        <w:tc>
          <w:tcPr>
            <w:tcW w:w="6974" w:type="dxa"/>
            <w:shd w:val="clear" w:color="auto" w:fill="auto"/>
            <w:vAlign w:val="center"/>
          </w:tcPr>
          <w:p w14:paraId="0E96A474" w14:textId="77777777" w:rsidR="003C67FF" w:rsidRPr="003C67FF" w:rsidRDefault="003C67FF" w:rsidP="00104729">
            <w:pPr>
              <w:jc w:val="center"/>
              <w:rPr>
                <w:b/>
                <w:sz w:val="24"/>
              </w:rPr>
            </w:pPr>
            <w:r w:rsidRPr="003C67FF">
              <w:rPr>
                <w:b/>
                <w:sz w:val="24"/>
              </w:rPr>
              <w:t>Balancing pre-writing, writing and post-writing activities and lessons</w:t>
            </w:r>
          </w:p>
        </w:tc>
      </w:tr>
      <w:tr w:rsidR="003C67FF" w:rsidRPr="004C1910" w14:paraId="7D498236" w14:textId="77777777" w:rsidTr="003C67FF">
        <w:trPr>
          <w:trHeight w:val="737"/>
        </w:trPr>
        <w:tc>
          <w:tcPr>
            <w:tcW w:w="6974" w:type="dxa"/>
            <w:shd w:val="clear" w:color="auto" w:fill="auto"/>
            <w:vAlign w:val="center"/>
          </w:tcPr>
          <w:p w14:paraId="7220B45D" w14:textId="77777777" w:rsidR="003C67FF" w:rsidRPr="003C67FF" w:rsidRDefault="003C67FF" w:rsidP="00104729">
            <w:pPr>
              <w:jc w:val="center"/>
              <w:rPr>
                <w:b/>
                <w:sz w:val="24"/>
              </w:rPr>
            </w:pPr>
            <w:r w:rsidRPr="003C67FF">
              <w:rPr>
                <w:b/>
                <w:sz w:val="24"/>
              </w:rPr>
              <w:t>Pupils having the opportunity to plan their writing</w:t>
            </w:r>
          </w:p>
        </w:tc>
        <w:tc>
          <w:tcPr>
            <w:tcW w:w="6974" w:type="dxa"/>
            <w:shd w:val="clear" w:color="auto" w:fill="auto"/>
            <w:vAlign w:val="center"/>
          </w:tcPr>
          <w:p w14:paraId="6BB441B4" w14:textId="77777777" w:rsidR="003C67FF" w:rsidRPr="003C67FF" w:rsidRDefault="003C67FF" w:rsidP="00104729">
            <w:pPr>
              <w:jc w:val="center"/>
              <w:rPr>
                <w:b/>
                <w:sz w:val="24"/>
              </w:rPr>
            </w:pPr>
            <w:r w:rsidRPr="003C67FF">
              <w:rPr>
                <w:b/>
                <w:sz w:val="24"/>
              </w:rPr>
              <w:t>Building pupil background knowledge</w:t>
            </w:r>
          </w:p>
        </w:tc>
      </w:tr>
      <w:tr w:rsidR="003C67FF" w:rsidRPr="004C1910" w14:paraId="72BFFF2D" w14:textId="77777777" w:rsidTr="003C67FF">
        <w:trPr>
          <w:trHeight w:val="737"/>
        </w:trPr>
        <w:tc>
          <w:tcPr>
            <w:tcW w:w="6974" w:type="dxa"/>
            <w:shd w:val="clear" w:color="auto" w:fill="auto"/>
            <w:vAlign w:val="center"/>
          </w:tcPr>
          <w:p w14:paraId="08153A25" w14:textId="77777777" w:rsidR="003C67FF" w:rsidRPr="003C67FF" w:rsidRDefault="003C67FF" w:rsidP="00104729">
            <w:pPr>
              <w:jc w:val="center"/>
              <w:rPr>
                <w:b/>
                <w:sz w:val="24"/>
              </w:rPr>
            </w:pPr>
            <w:r w:rsidRPr="003C67FF">
              <w:rPr>
                <w:b/>
                <w:sz w:val="24"/>
              </w:rPr>
              <w:t>Classroom ethos</w:t>
            </w:r>
          </w:p>
        </w:tc>
        <w:tc>
          <w:tcPr>
            <w:tcW w:w="6974" w:type="dxa"/>
            <w:shd w:val="clear" w:color="auto" w:fill="auto"/>
            <w:vAlign w:val="center"/>
          </w:tcPr>
          <w:p w14:paraId="31645FE7" w14:textId="77777777" w:rsidR="003C67FF" w:rsidRPr="003C67FF" w:rsidRDefault="003C67FF" w:rsidP="00104729">
            <w:pPr>
              <w:jc w:val="center"/>
              <w:rPr>
                <w:b/>
                <w:sz w:val="24"/>
              </w:rPr>
            </w:pPr>
            <w:r w:rsidRPr="003C67FF">
              <w:rPr>
                <w:b/>
                <w:sz w:val="24"/>
              </w:rPr>
              <w:t>Pupil confidence</w:t>
            </w:r>
          </w:p>
        </w:tc>
      </w:tr>
      <w:tr w:rsidR="003C67FF" w:rsidRPr="0080444F" w14:paraId="18540D3A" w14:textId="77777777" w:rsidTr="003C67FF">
        <w:trPr>
          <w:trHeight w:val="737"/>
        </w:trPr>
        <w:tc>
          <w:tcPr>
            <w:tcW w:w="6974" w:type="dxa"/>
            <w:shd w:val="clear" w:color="auto" w:fill="auto"/>
            <w:vAlign w:val="center"/>
          </w:tcPr>
          <w:p w14:paraId="4AAD4E85" w14:textId="77777777" w:rsidR="003C67FF" w:rsidRPr="003C67FF" w:rsidRDefault="003C67FF" w:rsidP="00104729">
            <w:pPr>
              <w:jc w:val="center"/>
              <w:rPr>
                <w:b/>
                <w:sz w:val="24"/>
              </w:rPr>
            </w:pPr>
            <w:r w:rsidRPr="003C67FF">
              <w:rPr>
                <w:b/>
                <w:sz w:val="24"/>
              </w:rPr>
              <w:t>Vocabulary</w:t>
            </w:r>
          </w:p>
        </w:tc>
        <w:tc>
          <w:tcPr>
            <w:tcW w:w="6974" w:type="dxa"/>
            <w:shd w:val="clear" w:color="auto" w:fill="auto"/>
            <w:vAlign w:val="center"/>
          </w:tcPr>
          <w:p w14:paraId="75AA10D1" w14:textId="77777777" w:rsidR="003C67FF" w:rsidRPr="003C67FF" w:rsidRDefault="003C67FF" w:rsidP="00104729">
            <w:pPr>
              <w:jc w:val="center"/>
              <w:rPr>
                <w:b/>
                <w:sz w:val="24"/>
              </w:rPr>
            </w:pPr>
            <w:r w:rsidRPr="003C67FF">
              <w:rPr>
                <w:b/>
                <w:sz w:val="24"/>
              </w:rPr>
              <w:t>Sentence construction</w:t>
            </w:r>
          </w:p>
        </w:tc>
      </w:tr>
      <w:tr w:rsidR="003C67FF" w:rsidRPr="004C1910" w14:paraId="1F8345D3" w14:textId="77777777" w:rsidTr="003C67FF">
        <w:trPr>
          <w:trHeight w:val="737"/>
        </w:trPr>
        <w:tc>
          <w:tcPr>
            <w:tcW w:w="6974" w:type="dxa"/>
            <w:shd w:val="clear" w:color="auto" w:fill="auto"/>
            <w:vAlign w:val="center"/>
          </w:tcPr>
          <w:p w14:paraId="6B8C21BD" w14:textId="77777777" w:rsidR="003C67FF" w:rsidRPr="003C67FF" w:rsidRDefault="003C67FF" w:rsidP="00104729">
            <w:pPr>
              <w:jc w:val="center"/>
              <w:rPr>
                <w:b/>
                <w:sz w:val="24"/>
              </w:rPr>
            </w:pPr>
            <w:r w:rsidRPr="003C67FF">
              <w:rPr>
                <w:b/>
                <w:sz w:val="24"/>
              </w:rPr>
              <w:t>Goals</w:t>
            </w:r>
          </w:p>
        </w:tc>
        <w:tc>
          <w:tcPr>
            <w:tcW w:w="6974" w:type="dxa"/>
            <w:shd w:val="clear" w:color="auto" w:fill="auto"/>
            <w:vAlign w:val="center"/>
          </w:tcPr>
          <w:p w14:paraId="79F74E49" w14:textId="77777777" w:rsidR="003C67FF" w:rsidRPr="003C67FF" w:rsidRDefault="003C67FF" w:rsidP="00104729">
            <w:pPr>
              <w:jc w:val="center"/>
              <w:rPr>
                <w:b/>
                <w:sz w:val="24"/>
              </w:rPr>
            </w:pPr>
            <w:r w:rsidRPr="003C67FF">
              <w:rPr>
                <w:b/>
                <w:sz w:val="24"/>
              </w:rPr>
              <w:t>Collaboration</w:t>
            </w:r>
          </w:p>
        </w:tc>
      </w:tr>
      <w:tr w:rsidR="003C67FF" w:rsidRPr="004C1910" w14:paraId="402BCCAC" w14:textId="77777777" w:rsidTr="003C67FF">
        <w:trPr>
          <w:trHeight w:val="737"/>
        </w:trPr>
        <w:tc>
          <w:tcPr>
            <w:tcW w:w="6974" w:type="dxa"/>
            <w:shd w:val="clear" w:color="auto" w:fill="auto"/>
            <w:vAlign w:val="center"/>
          </w:tcPr>
          <w:p w14:paraId="0A1A7A82" w14:textId="77777777" w:rsidR="003C67FF" w:rsidRPr="003C67FF" w:rsidRDefault="003C67FF" w:rsidP="00104729">
            <w:pPr>
              <w:jc w:val="center"/>
              <w:rPr>
                <w:b/>
                <w:sz w:val="24"/>
              </w:rPr>
            </w:pPr>
            <w:r w:rsidRPr="003C67FF">
              <w:rPr>
                <w:b/>
                <w:sz w:val="24"/>
              </w:rPr>
              <w:t>Grammar in context</w:t>
            </w:r>
          </w:p>
        </w:tc>
        <w:tc>
          <w:tcPr>
            <w:tcW w:w="6974" w:type="dxa"/>
            <w:shd w:val="clear" w:color="auto" w:fill="auto"/>
            <w:vAlign w:val="center"/>
          </w:tcPr>
          <w:p w14:paraId="34DA9250" w14:textId="77777777" w:rsidR="003C67FF" w:rsidRPr="003C67FF" w:rsidRDefault="003C67FF" w:rsidP="00104729">
            <w:pPr>
              <w:jc w:val="center"/>
              <w:rPr>
                <w:b/>
                <w:sz w:val="24"/>
              </w:rPr>
            </w:pPr>
            <w:r w:rsidRPr="003C67FF">
              <w:rPr>
                <w:b/>
                <w:sz w:val="24"/>
              </w:rPr>
              <w:t>Handwriting</w:t>
            </w:r>
          </w:p>
        </w:tc>
      </w:tr>
      <w:tr w:rsidR="003C67FF" w:rsidRPr="004C1910" w14:paraId="16A58171" w14:textId="77777777" w:rsidTr="003C67FF">
        <w:trPr>
          <w:trHeight w:val="737"/>
        </w:trPr>
        <w:tc>
          <w:tcPr>
            <w:tcW w:w="6974" w:type="dxa"/>
            <w:shd w:val="clear" w:color="auto" w:fill="auto"/>
            <w:vAlign w:val="center"/>
          </w:tcPr>
          <w:p w14:paraId="6B57B281" w14:textId="77777777" w:rsidR="003C67FF" w:rsidRPr="003C67FF" w:rsidRDefault="003C67FF" w:rsidP="00104729">
            <w:pPr>
              <w:jc w:val="center"/>
              <w:rPr>
                <w:b/>
                <w:sz w:val="24"/>
              </w:rPr>
            </w:pPr>
            <w:r w:rsidRPr="003C67FF">
              <w:rPr>
                <w:b/>
                <w:sz w:val="24"/>
              </w:rPr>
              <w:t>Developing revising and editing skills</w:t>
            </w:r>
          </w:p>
        </w:tc>
        <w:tc>
          <w:tcPr>
            <w:tcW w:w="6974" w:type="dxa"/>
            <w:shd w:val="clear" w:color="auto" w:fill="auto"/>
            <w:vAlign w:val="center"/>
          </w:tcPr>
          <w:p w14:paraId="1E67FEC5" w14:textId="77777777" w:rsidR="003C67FF" w:rsidRPr="003C67FF" w:rsidRDefault="003C67FF" w:rsidP="00104729">
            <w:pPr>
              <w:jc w:val="center"/>
              <w:rPr>
                <w:b/>
                <w:sz w:val="24"/>
              </w:rPr>
            </w:pPr>
            <w:r w:rsidRPr="003C67FF">
              <w:rPr>
                <w:b/>
                <w:sz w:val="24"/>
              </w:rPr>
              <w:t>Receiving feedback – use of formative assessment</w:t>
            </w:r>
          </w:p>
        </w:tc>
      </w:tr>
    </w:tbl>
    <w:p w14:paraId="2EADAEE0" w14:textId="4B5D6955" w:rsidR="003C67FF" w:rsidRDefault="003C67FF"/>
    <w:p w14:paraId="599ECBD4" w14:textId="650CF6A8" w:rsidR="003C67FF" w:rsidRDefault="003C67FF" w:rsidP="003C67FF">
      <w:pPr>
        <w:pStyle w:val="ListParagraph"/>
        <w:numPr>
          <w:ilvl w:val="0"/>
          <w:numId w:val="1"/>
        </w:numPr>
      </w:pPr>
      <w:r>
        <w:t>We also know that the quantity of reading pupils undertake makes a difference to the development of writing, as does pupil’s reading comprehension levels.  It is almost impossible to achieve ‘greater depth’ unless the pupil is an avid reader.  How does your teaching / approach to home learning reflect this?</w:t>
      </w:r>
    </w:p>
    <w:p w14:paraId="3D5F6B9D" w14:textId="0D3F9FED" w:rsidR="003C67FF" w:rsidRDefault="003C67FF" w:rsidP="003C67FF"/>
    <w:p w14:paraId="5CE70FC7" w14:textId="2755267A" w:rsidR="003C67FF" w:rsidRDefault="003C67FF" w:rsidP="003C67FF"/>
    <w:p w14:paraId="08B1E05A" w14:textId="2AF8A1DB" w:rsidR="003C67FF" w:rsidRDefault="003C67FF" w:rsidP="003C67FF"/>
    <w:p w14:paraId="1F661B23" w14:textId="77777777" w:rsidR="003C67FF" w:rsidRDefault="003C67FF" w:rsidP="003C67FF"/>
    <w:p w14:paraId="4A9E2FE2" w14:textId="51B38A40" w:rsidR="003C67FF" w:rsidRDefault="003C67FF" w:rsidP="003C67FF">
      <w:pPr>
        <w:pStyle w:val="ListParagraph"/>
        <w:numPr>
          <w:ilvl w:val="0"/>
          <w:numId w:val="1"/>
        </w:numPr>
      </w:pPr>
      <w:r>
        <w:t xml:space="preserve">Having read the supporting document ‘Knowing what works – a quick reference guide to </w:t>
      </w:r>
      <w:proofErr w:type="gramStart"/>
      <w:r>
        <w:t>evidence based</w:t>
      </w:r>
      <w:proofErr w:type="gramEnd"/>
      <w:r>
        <w:t xml:space="preserve"> practice’, what stood out to you?  What did you find interesting or particularly relevant to your teaching?  Are you now considering any changes to your practice?</w:t>
      </w:r>
      <w:bookmarkStart w:id="0" w:name="_GoBack"/>
      <w:bookmarkEnd w:id="0"/>
    </w:p>
    <w:sectPr w:rsidR="003C67FF" w:rsidSect="003C67F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7148C"/>
    <w:multiLevelType w:val="hybridMultilevel"/>
    <w:tmpl w:val="E20C9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FF"/>
    <w:rsid w:val="003C67FF"/>
    <w:rsid w:val="0083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F2A8"/>
  <w15:chartTrackingRefBased/>
  <w15:docId w15:val="{9F974123-F869-42BB-81B2-A5D32B67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Crane</dc:creator>
  <cp:keywords/>
  <dc:description/>
  <cp:lastModifiedBy>Victoria Crane</cp:lastModifiedBy>
  <cp:revision>1</cp:revision>
  <dcterms:created xsi:type="dcterms:W3CDTF">2018-08-27T14:08:00Z</dcterms:created>
  <dcterms:modified xsi:type="dcterms:W3CDTF">2018-08-27T14:13:00Z</dcterms:modified>
</cp:coreProperties>
</file>